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B7A" w:rsidRDefault="00935B7A" w:rsidP="00935B7A">
      <w:pPr>
        <w:pStyle w:val="PlainText"/>
        <w:rPr>
          <w:rFonts w:ascii="Times New Roman" w:eastAsia="Times New Roman" w:hAnsi="Times New Roman"/>
          <w:b/>
          <w:szCs w:val="24"/>
        </w:rPr>
      </w:pPr>
      <w:r w:rsidRPr="008545D9">
        <w:rPr>
          <w:rFonts w:ascii="Times New Roman" w:eastAsia="Times New Roman" w:hAnsi="Times New Roman"/>
          <w:b/>
          <w:szCs w:val="24"/>
        </w:rPr>
        <w:t xml:space="preserve">Chapter 4.  </w:t>
      </w:r>
      <w:r>
        <w:rPr>
          <w:rFonts w:ascii="Times New Roman" w:eastAsia="Times New Roman" w:hAnsi="Times New Roman"/>
          <w:b/>
          <w:szCs w:val="24"/>
        </w:rPr>
        <w:t>USE OF PUBLIC SEWERS REQUIRED</w:t>
      </w:r>
    </w:p>
    <w:p w:rsidR="00935B7A" w:rsidRPr="008545D9" w:rsidRDefault="00935B7A" w:rsidP="00935B7A">
      <w:pPr>
        <w:pStyle w:val="PlainText"/>
        <w:rPr>
          <w:rFonts w:ascii="Times New Roman" w:eastAsia="Times New Roman" w:hAnsi="Times New Roman"/>
          <w:szCs w:val="24"/>
        </w:rPr>
      </w:pPr>
      <w:r w:rsidRPr="008545D9">
        <w:rPr>
          <w:rFonts w:ascii="Times New Roman" w:eastAsia="Times New Roman" w:hAnsi="Times New Roman"/>
          <w:szCs w:val="24"/>
        </w:rPr>
        <w:t xml:space="preserve"> </w:t>
      </w:r>
    </w:p>
    <w:p w:rsidR="00935B7A" w:rsidRDefault="00935B7A" w:rsidP="00935B7A">
      <w:pPr>
        <w:pStyle w:val="PlainText"/>
        <w:rPr>
          <w:rFonts w:ascii="Times New Roman" w:eastAsia="Times New Roman" w:hAnsi="Times New Roman"/>
          <w:szCs w:val="24"/>
        </w:rPr>
      </w:pPr>
      <w:r w:rsidRPr="00A16B56">
        <w:rPr>
          <w:rFonts w:ascii="Times New Roman" w:eastAsia="Times New Roman" w:hAnsi="Times New Roman"/>
          <w:b/>
          <w:szCs w:val="24"/>
        </w:rPr>
        <w:t xml:space="preserve">Section </w:t>
      </w:r>
      <w:r>
        <w:rPr>
          <w:rFonts w:ascii="Times New Roman" w:eastAsia="Times New Roman" w:hAnsi="Times New Roman"/>
          <w:b/>
          <w:szCs w:val="24"/>
        </w:rPr>
        <w:t>4.10</w:t>
      </w:r>
      <w:r w:rsidRPr="00A16B56">
        <w:rPr>
          <w:rFonts w:ascii="Times New Roman" w:eastAsia="Times New Roman" w:hAnsi="Times New Roman"/>
          <w:b/>
          <w:szCs w:val="24"/>
        </w:rPr>
        <w:t>.</w:t>
      </w:r>
      <w:r>
        <w:rPr>
          <w:rFonts w:ascii="Times New Roman" w:eastAsia="Times New Roman" w:hAnsi="Times New Roman"/>
          <w:b/>
          <w:szCs w:val="24"/>
        </w:rPr>
        <w:t xml:space="preserve">  </w:t>
      </w:r>
      <w:r w:rsidRPr="00A16B56">
        <w:rPr>
          <w:rFonts w:ascii="Times New Roman" w:eastAsia="Times New Roman" w:hAnsi="Times New Roman"/>
          <w:b/>
          <w:szCs w:val="24"/>
          <w:u w:val="single"/>
        </w:rPr>
        <w:t>Required connections.</w:t>
      </w:r>
      <w:r w:rsidRPr="008545D9">
        <w:rPr>
          <w:rFonts w:ascii="Times New Roman" w:eastAsia="Times New Roman" w:hAnsi="Times New Roman"/>
          <w:szCs w:val="24"/>
        </w:rPr>
        <w:t xml:space="preserve"> </w:t>
      </w:r>
    </w:p>
    <w:p w:rsidR="00935B7A" w:rsidRDefault="00935B7A" w:rsidP="00935B7A">
      <w:pPr>
        <w:pStyle w:val="PlainText"/>
        <w:rPr>
          <w:rFonts w:ascii="Times New Roman" w:eastAsia="Times New Roman" w:hAnsi="Times New Roman"/>
          <w:szCs w:val="24"/>
        </w:rPr>
      </w:pPr>
    </w:p>
    <w:p w:rsidR="0008694A" w:rsidRDefault="009C7C05" w:rsidP="009C7C05">
      <w:pPr>
        <w:ind w:firstLine="720"/>
        <w:rPr>
          <w:rFonts w:eastAsia="Times"/>
          <w:bCs/>
        </w:rPr>
      </w:pPr>
      <w:r>
        <w:rPr>
          <w:rFonts w:eastAsia="Times"/>
          <w:bCs/>
        </w:rPr>
        <w:t>(a)</w:t>
      </w:r>
      <w:r w:rsidR="0008694A" w:rsidRPr="0008694A">
        <w:rPr>
          <w:rFonts w:eastAsia="Times"/>
          <w:bCs/>
        </w:rPr>
        <w:t>New structures. The owner of any parcel on which occurs the construction of any new building used for human habitation within the District and where the owner of the parcel can legally connect to a public sanitary sewer by a straight line distance of 500 feet or less from the building site to the Pike’s Bay Sanitary District connection point,</w:t>
      </w:r>
      <w:r w:rsidR="0008694A" w:rsidRPr="0008694A">
        <w:rPr>
          <w:rFonts w:eastAsia="Times"/>
          <w:bCs/>
        </w:rPr>
        <w:t xml:space="preserve"> </w:t>
      </w:r>
      <w:r w:rsidR="0008694A" w:rsidRPr="005F2A60">
        <w:rPr>
          <w:rFonts w:eastAsia="Times"/>
          <w:bCs/>
        </w:rPr>
        <w:t>shall be required to connect to the sanitary sewer within six</w:t>
      </w:r>
      <w:r w:rsidR="0008694A">
        <w:rPr>
          <w:rFonts w:eastAsia="Times"/>
          <w:bCs/>
        </w:rPr>
        <w:t xml:space="preserve"> months of notice from Commission.</w:t>
      </w:r>
    </w:p>
    <w:p w:rsidR="0008694A" w:rsidRDefault="0008694A" w:rsidP="00935B7A">
      <w:pPr>
        <w:rPr>
          <w:rFonts w:eastAsia="Times"/>
          <w:bCs/>
        </w:rPr>
      </w:pPr>
    </w:p>
    <w:p w:rsidR="0008694A" w:rsidRDefault="0008694A" w:rsidP="00935B7A">
      <w:pPr>
        <w:rPr>
          <w:rFonts w:eastAsia="Times"/>
          <w:bCs/>
        </w:rPr>
      </w:pPr>
    </w:p>
    <w:p w:rsidR="00935B7A" w:rsidRPr="00F74032" w:rsidRDefault="00935B7A" w:rsidP="00935B7A">
      <w:pPr>
        <w:rPr>
          <w:bCs/>
        </w:rPr>
      </w:pPr>
      <w:r>
        <w:rPr>
          <w:bCs/>
        </w:rPr>
        <w:tab/>
      </w:r>
      <w:r w:rsidRPr="00F74032">
        <w:rPr>
          <w:bCs/>
        </w:rPr>
        <w:t xml:space="preserve">(b)  Existing structures.  </w:t>
      </w:r>
      <w:r w:rsidRPr="007A32B3">
        <w:rPr>
          <w:bCs/>
        </w:rPr>
        <w:t>Connection to the public sanitary sewer of existing structures on any parcel meeting the requirements of subsection 4.</w:t>
      </w:r>
      <w:r>
        <w:rPr>
          <w:bCs/>
        </w:rPr>
        <w:t>1</w:t>
      </w:r>
      <w:r w:rsidRPr="007A32B3">
        <w:rPr>
          <w:bCs/>
        </w:rPr>
        <w:t>0(a)</w:t>
      </w:r>
      <w:r>
        <w:rPr>
          <w:b/>
          <w:bCs/>
        </w:rPr>
        <w:t xml:space="preserve"> </w:t>
      </w:r>
      <w:r w:rsidRPr="007039F1">
        <w:rPr>
          <w:bCs/>
        </w:rPr>
        <w:t>may be required upon</w:t>
      </w:r>
      <w:r>
        <w:rPr>
          <w:bCs/>
        </w:rPr>
        <w:t xml:space="preserve"> </w:t>
      </w:r>
      <w:r w:rsidRPr="00F74032">
        <w:rPr>
          <w:bCs/>
        </w:rPr>
        <w:t>the earliest of the following events:</w:t>
      </w:r>
    </w:p>
    <w:p w:rsidR="00935B7A" w:rsidRPr="00F74032" w:rsidRDefault="00935B7A" w:rsidP="00935B7A">
      <w:pPr>
        <w:rPr>
          <w:bCs/>
        </w:rPr>
      </w:pPr>
    </w:p>
    <w:p w:rsidR="00935B7A" w:rsidRPr="00F74032" w:rsidRDefault="00935B7A" w:rsidP="00935B7A">
      <w:pPr>
        <w:rPr>
          <w:bCs/>
        </w:rPr>
      </w:pPr>
      <w:r w:rsidRPr="00F74032">
        <w:rPr>
          <w:bCs/>
        </w:rPr>
        <w:tab/>
        <w:t>(1)  Failure of a private on-site waste disposal system.</w:t>
      </w:r>
    </w:p>
    <w:p w:rsidR="00935B7A" w:rsidRPr="00F74032" w:rsidRDefault="00935B7A" w:rsidP="00935B7A">
      <w:pPr>
        <w:rPr>
          <w:bCs/>
        </w:rPr>
      </w:pPr>
    </w:p>
    <w:p w:rsidR="00935B7A" w:rsidRPr="00F74032" w:rsidRDefault="00935B7A" w:rsidP="00935B7A">
      <w:pPr>
        <w:rPr>
          <w:bCs/>
        </w:rPr>
      </w:pPr>
      <w:r w:rsidRPr="00F74032">
        <w:rPr>
          <w:bCs/>
        </w:rPr>
        <w:tab/>
        <w:t>(2)  The age of the private on-site waste disposal system meets or exceeds</w:t>
      </w:r>
    </w:p>
    <w:p w:rsidR="00935B7A" w:rsidRPr="00F74032" w:rsidRDefault="00935B7A" w:rsidP="00935B7A">
      <w:r w:rsidRPr="00CA745F">
        <w:t>15</w:t>
      </w:r>
      <w:r>
        <w:t xml:space="preserve"> </w:t>
      </w:r>
      <w:r w:rsidRPr="00F74032">
        <w:t xml:space="preserve">years if a septic system or </w:t>
      </w:r>
      <w:r w:rsidRPr="007039F1">
        <w:tab/>
      </w:r>
      <w:r w:rsidRPr="00CA745F">
        <w:t>five</w:t>
      </w:r>
      <w:r w:rsidRPr="007039F1">
        <w:t xml:space="preserve"> </w:t>
      </w:r>
      <w:r w:rsidRPr="00F74032">
        <w:t>years if a holding tank, whether or not the system is failing.</w:t>
      </w:r>
      <w:r>
        <w:t xml:space="preserve">  </w:t>
      </w:r>
      <w:r w:rsidRPr="00F74032">
        <w:t>The Commission may issue a connection order to take effect in the future at such time as the age provided for in the preceding sentence shall have been met.</w:t>
      </w:r>
    </w:p>
    <w:p w:rsidR="00935B7A" w:rsidRPr="00F74032" w:rsidRDefault="00935B7A" w:rsidP="00935B7A">
      <w:pPr>
        <w:rPr>
          <w:bCs/>
        </w:rPr>
      </w:pPr>
    </w:p>
    <w:p w:rsidR="00935B7A" w:rsidRDefault="00935B7A" w:rsidP="00935B7A">
      <w:pPr>
        <w:rPr>
          <w:bCs/>
        </w:rPr>
      </w:pPr>
      <w:r w:rsidRPr="00F74032">
        <w:rPr>
          <w:bCs/>
        </w:rPr>
        <w:tab/>
        <w:t xml:space="preserve">(3)  Construction of a new </w:t>
      </w:r>
      <w:r w:rsidRPr="00656DD1">
        <w:rPr>
          <w:bCs/>
        </w:rPr>
        <w:t>building used for human habitation</w:t>
      </w:r>
      <w:r>
        <w:rPr>
          <w:bCs/>
        </w:rPr>
        <w:t xml:space="preserve"> </w:t>
      </w:r>
      <w:r w:rsidRPr="00F74032">
        <w:rPr>
          <w:bCs/>
        </w:rPr>
        <w:t>on the property.</w:t>
      </w:r>
      <w:r>
        <w:rPr>
          <w:bCs/>
        </w:rPr>
        <w:t xml:space="preserve">  </w:t>
      </w:r>
    </w:p>
    <w:p w:rsidR="00935B7A" w:rsidRPr="00F74032" w:rsidRDefault="00935B7A" w:rsidP="00935B7A">
      <w:pPr>
        <w:rPr>
          <w:bCs/>
        </w:rPr>
      </w:pPr>
    </w:p>
    <w:p w:rsidR="00935B7A" w:rsidRPr="00F74032" w:rsidRDefault="00935B7A" w:rsidP="00935B7A">
      <w:pPr>
        <w:rPr>
          <w:bCs/>
        </w:rPr>
      </w:pPr>
      <w:r w:rsidRPr="00F74032">
        <w:rPr>
          <w:bCs/>
        </w:rPr>
        <w:tab/>
        <w:t xml:space="preserve">(4)  </w:t>
      </w:r>
      <w:smartTag w:uri="urn:schemas-microsoft-com:office:smarttags" w:element="place">
        <w:smartTag w:uri="urn:schemas-microsoft-com:office:smarttags" w:element="City">
          <w:r w:rsidRPr="00F74032">
            <w:rPr>
              <w:bCs/>
            </w:rPr>
            <w:t>Sale</w:t>
          </w:r>
        </w:smartTag>
      </w:smartTag>
      <w:r w:rsidRPr="00F74032">
        <w:rPr>
          <w:bCs/>
        </w:rPr>
        <w:t xml:space="preserve">, transfer, or subdivision of the subject property or any </w:t>
      </w:r>
      <w:r w:rsidRPr="00A6096F">
        <w:rPr>
          <w:bCs/>
        </w:rPr>
        <w:t>part</w:t>
      </w:r>
      <w:r>
        <w:rPr>
          <w:bCs/>
        </w:rPr>
        <w:t xml:space="preserve"> </w:t>
      </w:r>
      <w:r w:rsidRPr="00F74032">
        <w:rPr>
          <w:bCs/>
        </w:rPr>
        <w:t>thereof including the sale, transfer, or subdivision of property to children or relatives of the owner or the placement of the property into a trust.</w:t>
      </w:r>
    </w:p>
    <w:p w:rsidR="00935B7A" w:rsidRPr="00F74032" w:rsidRDefault="00935B7A" w:rsidP="00935B7A">
      <w:pPr>
        <w:rPr>
          <w:bCs/>
        </w:rPr>
      </w:pPr>
    </w:p>
    <w:p w:rsidR="00935B7A" w:rsidRPr="00F74032" w:rsidRDefault="00935B7A" w:rsidP="00935B7A">
      <w:pPr>
        <w:rPr>
          <w:bCs/>
        </w:rPr>
      </w:pPr>
      <w:r w:rsidRPr="00F74032">
        <w:rPr>
          <w:bCs/>
        </w:rPr>
        <w:tab/>
        <w:t xml:space="preserve">(5)  The density of the area in which the parcel lies, meets or exceeds </w:t>
      </w:r>
      <w:r w:rsidRPr="00A6096F">
        <w:rPr>
          <w:bCs/>
        </w:rPr>
        <w:t>1 REU per two acres</w:t>
      </w:r>
      <w:r>
        <w:rPr>
          <w:bCs/>
        </w:rPr>
        <w:t>.</w:t>
      </w:r>
      <w:r w:rsidRPr="00F74032">
        <w:rPr>
          <w:bCs/>
        </w:rPr>
        <w:t xml:space="preserve">  The Commission shall, in its discretion, determine the relevant area for purposes of applying this provision.</w:t>
      </w:r>
    </w:p>
    <w:p w:rsidR="00935B7A" w:rsidRDefault="00935B7A" w:rsidP="00935B7A">
      <w:pPr>
        <w:rPr>
          <w:bCs/>
        </w:rPr>
      </w:pPr>
    </w:p>
    <w:p w:rsidR="00935B7A" w:rsidRDefault="00935B7A" w:rsidP="00935B7A">
      <w:pPr>
        <w:rPr>
          <w:bCs/>
        </w:rPr>
      </w:pPr>
      <w:r>
        <w:rPr>
          <w:bCs/>
        </w:rPr>
        <w:tab/>
      </w:r>
      <w:r w:rsidRPr="00F74032">
        <w:rPr>
          <w:bCs/>
        </w:rPr>
        <w:t>(c)  The owner of a parcel required to connect to the public sanitary system under subsection</w:t>
      </w:r>
      <w:r>
        <w:rPr>
          <w:bCs/>
        </w:rPr>
        <w:t xml:space="preserve"> </w:t>
      </w:r>
      <w:r w:rsidRPr="007039F1">
        <w:rPr>
          <w:bCs/>
        </w:rPr>
        <w:t>(a) or</w:t>
      </w:r>
      <w:r w:rsidRPr="00F74032">
        <w:rPr>
          <w:bCs/>
        </w:rPr>
        <w:t xml:space="preserve"> (b), above, may </w:t>
      </w:r>
      <w:r w:rsidRPr="00FD5DA8">
        <w:rPr>
          <w:bCs/>
        </w:rPr>
        <w:t xml:space="preserve">demand that the connection order be reconsidered by </w:t>
      </w:r>
      <w:r w:rsidRPr="00CA745F">
        <w:rPr>
          <w:bCs/>
        </w:rPr>
        <w:t>the</w:t>
      </w:r>
      <w:r>
        <w:rPr>
          <w:bCs/>
        </w:rPr>
        <w:t xml:space="preserve"> </w:t>
      </w:r>
      <w:r w:rsidRPr="00FD5DA8">
        <w:rPr>
          <w:bCs/>
        </w:rPr>
        <w:t>Commission.  Any such demand shall be in writing and must be provided to the Secretary or President of the Commission no later than 30 days from the date of the connection order</w:t>
      </w:r>
      <w:r>
        <w:rPr>
          <w:bCs/>
        </w:rPr>
        <w:t xml:space="preserve">, </w:t>
      </w:r>
      <w:r w:rsidRPr="00CA745F">
        <w:rPr>
          <w:bCs/>
        </w:rPr>
        <w:t>together with a deposit of $500, which the Commission may apply to its costs associated with the reconsideration.  Any amount not expended by the Commission in connection with the reconsideration shall be refunded to the owner.  Any additional amount expended by the Commission in connection with the reconsideration shall be charged to the owner, and no order rescinding a connection order shall be made until such amount is paid in full. Amounts expended by the Commission in connection with the reconsideration shall include but not be limited to engineering, inspection, and legal fees and costs, and copy costs, long distance telephone costs, and postage or delivery service costs</w:t>
      </w:r>
      <w:r>
        <w:rPr>
          <w:bCs/>
        </w:rPr>
        <w:t xml:space="preserve">.  </w:t>
      </w:r>
      <w:r w:rsidRPr="00F74032">
        <w:rPr>
          <w:bCs/>
        </w:rPr>
        <w:t xml:space="preserve">The burden shall be on the property owner to prove </w:t>
      </w:r>
      <w:r w:rsidRPr="00DC38F9">
        <w:rPr>
          <w:bCs/>
        </w:rPr>
        <w:t>that</w:t>
      </w:r>
      <w:r>
        <w:rPr>
          <w:bCs/>
        </w:rPr>
        <w:t xml:space="preserve"> </w:t>
      </w:r>
      <w:r w:rsidRPr="00FD5DA8">
        <w:rPr>
          <w:bCs/>
        </w:rPr>
        <w:t xml:space="preserve">the </w:t>
      </w:r>
      <w:r w:rsidRPr="00FD5DA8">
        <w:rPr>
          <w:bCs/>
        </w:rPr>
        <w:lastRenderedPageBreak/>
        <w:t>structure should not be required to connect</w:t>
      </w:r>
      <w:r w:rsidRPr="00F74032">
        <w:rPr>
          <w:bCs/>
        </w:rPr>
        <w:t>.  An owner may take the position that subsection (b)(1) does not apply only if the owner grants to the Commission permission to inspect and test the existing private system.</w:t>
      </w:r>
      <w:r>
        <w:rPr>
          <w:bCs/>
        </w:rPr>
        <w:t xml:space="preserve">  </w:t>
      </w:r>
      <w:r w:rsidRPr="00FD5DA8">
        <w:rPr>
          <w:bCs/>
        </w:rPr>
        <w:t>The owner of a parcel required to connect under subsection (a), may seek reconsideration of the connection order upon presentation to the Commission of evidence related to the following factors:</w:t>
      </w:r>
      <w:r>
        <w:rPr>
          <w:bCs/>
        </w:rPr>
        <w:t xml:space="preserve">  </w:t>
      </w:r>
    </w:p>
    <w:p w:rsidR="00935B7A" w:rsidRDefault="00935B7A" w:rsidP="00935B7A">
      <w:pPr>
        <w:rPr>
          <w:bCs/>
        </w:rPr>
      </w:pPr>
    </w:p>
    <w:p w:rsidR="00935B7A" w:rsidRPr="00FD5DA8" w:rsidRDefault="00935B7A" w:rsidP="00935B7A">
      <w:pPr>
        <w:rPr>
          <w:bCs/>
        </w:rPr>
      </w:pPr>
      <w:r>
        <w:rPr>
          <w:bCs/>
        </w:rPr>
        <w:tab/>
      </w:r>
      <w:r w:rsidRPr="00FD5DA8">
        <w:rPr>
          <w:bCs/>
        </w:rPr>
        <w:t>(1)  The characteristics of the site.</w:t>
      </w:r>
    </w:p>
    <w:p w:rsidR="00935B7A" w:rsidRPr="00FD5DA8" w:rsidRDefault="00935B7A" w:rsidP="00935B7A">
      <w:pPr>
        <w:rPr>
          <w:bCs/>
        </w:rPr>
      </w:pPr>
    </w:p>
    <w:p w:rsidR="00935B7A" w:rsidRPr="00FD5DA8" w:rsidRDefault="00935B7A" w:rsidP="00935B7A">
      <w:pPr>
        <w:rPr>
          <w:bCs/>
        </w:rPr>
      </w:pPr>
      <w:r w:rsidRPr="00FD5DA8">
        <w:rPr>
          <w:bCs/>
        </w:rPr>
        <w:tab/>
        <w:t xml:space="preserve">(2)  The estimated cost of connecting to the public sanitary sewer as presented </w:t>
      </w:r>
    </w:p>
    <w:p w:rsidR="00935B7A" w:rsidRPr="00FD5DA8" w:rsidRDefault="00935B7A" w:rsidP="00935B7A">
      <w:pPr>
        <w:rPr>
          <w:bCs/>
        </w:rPr>
      </w:pPr>
      <w:r w:rsidRPr="00FD5DA8">
        <w:rPr>
          <w:bCs/>
        </w:rPr>
        <w:tab/>
        <w:t xml:space="preserve">by a professional engineer and based on site specific data including assessment of </w:t>
      </w:r>
      <w:r w:rsidRPr="00FD5DA8">
        <w:rPr>
          <w:bCs/>
        </w:rPr>
        <w:tab/>
        <w:t xml:space="preserve">substrate characteristics, measurements, test diggings or borings, and other facts </w:t>
      </w:r>
      <w:r w:rsidRPr="00FD5DA8">
        <w:rPr>
          <w:bCs/>
        </w:rPr>
        <w:tab/>
        <w:t>as requested by the Commission.</w:t>
      </w:r>
    </w:p>
    <w:p w:rsidR="00935B7A" w:rsidRPr="00FD5DA8" w:rsidRDefault="00935B7A" w:rsidP="00935B7A">
      <w:pPr>
        <w:rPr>
          <w:bCs/>
        </w:rPr>
      </w:pPr>
    </w:p>
    <w:p w:rsidR="00935B7A" w:rsidRPr="00FD5DA8" w:rsidRDefault="00935B7A" w:rsidP="00935B7A">
      <w:pPr>
        <w:rPr>
          <w:bCs/>
        </w:rPr>
      </w:pPr>
      <w:r w:rsidRPr="00FD5DA8">
        <w:rPr>
          <w:bCs/>
        </w:rPr>
        <w:tab/>
        <w:t>(3)  The alternatives proposed by the landowner, and their installation and life-</w:t>
      </w:r>
      <w:r w:rsidRPr="00FD5DA8">
        <w:rPr>
          <w:bCs/>
        </w:rPr>
        <w:tab/>
        <w:t>cycle costs.</w:t>
      </w:r>
    </w:p>
    <w:p w:rsidR="00935B7A" w:rsidRPr="00FD5DA8" w:rsidRDefault="00935B7A" w:rsidP="00935B7A">
      <w:pPr>
        <w:rPr>
          <w:bCs/>
        </w:rPr>
      </w:pPr>
    </w:p>
    <w:p w:rsidR="00935B7A" w:rsidRPr="00FD5DA8" w:rsidRDefault="00935B7A" w:rsidP="00935B7A">
      <w:pPr>
        <w:rPr>
          <w:bCs/>
        </w:rPr>
      </w:pPr>
      <w:r w:rsidRPr="00FD5DA8">
        <w:rPr>
          <w:bCs/>
        </w:rPr>
        <w:tab/>
        <w:t>(4)  The environmental safety of the alternatives proposed.</w:t>
      </w:r>
    </w:p>
    <w:p w:rsidR="00935B7A" w:rsidRPr="00FD5DA8" w:rsidRDefault="00935B7A" w:rsidP="00935B7A">
      <w:pPr>
        <w:rPr>
          <w:bCs/>
        </w:rPr>
      </w:pPr>
    </w:p>
    <w:p w:rsidR="00935B7A" w:rsidRPr="00FD5DA8" w:rsidRDefault="00935B7A" w:rsidP="00935B7A">
      <w:pPr>
        <w:rPr>
          <w:bCs/>
        </w:rPr>
      </w:pPr>
      <w:r w:rsidRPr="00FD5DA8">
        <w:rPr>
          <w:bCs/>
        </w:rPr>
        <w:tab/>
        <w:t xml:space="preserve">(5)  The fiscal impact on the District of not requiring a connection, including any </w:t>
      </w:r>
      <w:r w:rsidRPr="00FD5DA8">
        <w:rPr>
          <w:bCs/>
        </w:rPr>
        <w:tab/>
        <w:t>precedent that may be set by not requiring the connection.</w:t>
      </w:r>
    </w:p>
    <w:p w:rsidR="00935B7A" w:rsidRPr="00FD5DA8" w:rsidRDefault="00935B7A" w:rsidP="00935B7A">
      <w:pPr>
        <w:rPr>
          <w:bCs/>
        </w:rPr>
      </w:pPr>
    </w:p>
    <w:p w:rsidR="00935B7A" w:rsidRDefault="00935B7A" w:rsidP="00935B7A">
      <w:pPr>
        <w:rPr>
          <w:bCs/>
        </w:rPr>
      </w:pPr>
      <w:r w:rsidRPr="00FD5DA8">
        <w:rPr>
          <w:bCs/>
        </w:rPr>
        <w:tab/>
        <w:t xml:space="preserve">(6)  The ratio of the estimated connection costs to the value of the </w:t>
      </w:r>
      <w:r w:rsidRPr="00CA745F">
        <w:rPr>
          <w:bCs/>
        </w:rPr>
        <w:t>property</w:t>
      </w:r>
      <w:r>
        <w:rPr>
          <w:bCs/>
        </w:rPr>
        <w:t xml:space="preserve"> </w:t>
      </w:r>
      <w:r w:rsidRPr="00FD5DA8">
        <w:rPr>
          <w:bCs/>
        </w:rPr>
        <w:t xml:space="preserve">to </w:t>
      </w:r>
      <w:r>
        <w:rPr>
          <w:bCs/>
        </w:rPr>
        <w:tab/>
        <w:t xml:space="preserve">be </w:t>
      </w:r>
      <w:r w:rsidRPr="00FD5DA8">
        <w:rPr>
          <w:bCs/>
        </w:rPr>
        <w:t>served.</w:t>
      </w:r>
    </w:p>
    <w:p w:rsidR="00935B7A" w:rsidRDefault="00935B7A" w:rsidP="00935B7A">
      <w:pPr>
        <w:rPr>
          <w:bCs/>
        </w:rPr>
      </w:pPr>
    </w:p>
    <w:p w:rsidR="00935B7A" w:rsidRDefault="00935B7A" w:rsidP="00935B7A">
      <w:pPr>
        <w:rPr>
          <w:bCs/>
        </w:rPr>
      </w:pPr>
      <w:r>
        <w:rPr>
          <w:bCs/>
        </w:rPr>
        <w:tab/>
      </w:r>
      <w:r w:rsidRPr="00CA745F">
        <w:rPr>
          <w:bCs/>
        </w:rPr>
        <w:t>(7)  Economic hardship to the owner.</w:t>
      </w:r>
    </w:p>
    <w:p w:rsidR="00935B7A" w:rsidRDefault="00935B7A" w:rsidP="00935B7A">
      <w:pPr>
        <w:rPr>
          <w:bCs/>
        </w:rPr>
      </w:pPr>
    </w:p>
    <w:p w:rsidR="00935B7A" w:rsidRPr="00656DD1" w:rsidRDefault="00935B7A" w:rsidP="00935B7A">
      <w:pPr>
        <w:rPr>
          <w:bCs/>
        </w:rPr>
      </w:pPr>
      <w:r w:rsidRPr="00656DD1">
        <w:rPr>
          <w:bCs/>
        </w:rPr>
        <w:tab/>
        <w:t>(d)  Failure to connect as required under this chapte</w:t>
      </w:r>
      <w:r w:rsidR="005052BC">
        <w:rPr>
          <w:bCs/>
        </w:rPr>
        <w:t xml:space="preserve">r shall result in the penalties </w:t>
      </w:r>
      <w:r w:rsidR="006A4DC1" w:rsidRPr="006A4DC1">
        <w:rPr>
          <w:bCs/>
        </w:rPr>
        <w:t>as prescribed in Chapter 10</w:t>
      </w:r>
    </w:p>
    <w:p w:rsidR="00935B7A" w:rsidRPr="00CA745F" w:rsidRDefault="00935B7A" w:rsidP="00935B7A">
      <w:pPr>
        <w:rPr>
          <w:bCs/>
          <w:highlight w:val="yellow"/>
        </w:rPr>
      </w:pPr>
    </w:p>
    <w:p w:rsidR="00935B7A" w:rsidRDefault="00935B7A" w:rsidP="00935B7A">
      <w:pPr>
        <w:pStyle w:val="PlainText"/>
        <w:rPr>
          <w:rFonts w:ascii="Times New Roman" w:eastAsia="Times New Roman" w:hAnsi="Times New Roman"/>
          <w:szCs w:val="24"/>
        </w:rPr>
      </w:pPr>
      <w:r>
        <w:rPr>
          <w:rFonts w:ascii="Times New Roman" w:eastAsia="Times New Roman" w:hAnsi="Times New Roman"/>
          <w:szCs w:val="24"/>
        </w:rPr>
        <w:tab/>
      </w:r>
      <w:r w:rsidRPr="00CA745F">
        <w:rPr>
          <w:rFonts w:ascii="Times New Roman" w:eastAsia="Times New Roman" w:hAnsi="Times New Roman"/>
          <w:szCs w:val="24"/>
        </w:rPr>
        <w:t>(</w:t>
      </w:r>
      <w:r>
        <w:rPr>
          <w:rFonts w:ascii="Times New Roman" w:eastAsia="Times New Roman" w:hAnsi="Times New Roman"/>
          <w:szCs w:val="24"/>
        </w:rPr>
        <w:t>e</w:t>
      </w:r>
      <w:r w:rsidRPr="00CA745F">
        <w:rPr>
          <w:rFonts w:ascii="Times New Roman" w:eastAsia="Times New Roman" w:hAnsi="Times New Roman"/>
          <w:szCs w:val="24"/>
        </w:rPr>
        <w:t>)  No person shall create a subdivision without reserving and recording as part of the subdivision plat a sanitary sewer easement that abuts each of the lots so created.  The terms “subdivision” and “lot” shall have meanings as defined by the Bayfield County Zoning Ordinance.</w:t>
      </w:r>
    </w:p>
    <w:p w:rsidR="00935B7A" w:rsidRDefault="00935B7A" w:rsidP="00935B7A">
      <w:pPr>
        <w:rPr>
          <w:b/>
          <w:bCs/>
        </w:rPr>
      </w:pPr>
    </w:p>
    <w:p w:rsidR="00935B7A" w:rsidRPr="001C060C" w:rsidRDefault="00935B7A" w:rsidP="00935B7A">
      <w:pPr>
        <w:rPr>
          <w:bCs/>
        </w:rPr>
      </w:pPr>
      <w:r w:rsidRPr="001C060C">
        <w:rPr>
          <w:b/>
          <w:bCs/>
        </w:rPr>
        <w:t>Section 4.</w:t>
      </w:r>
      <w:r>
        <w:rPr>
          <w:b/>
          <w:bCs/>
        </w:rPr>
        <w:t>2</w:t>
      </w:r>
      <w:r w:rsidRPr="001C060C">
        <w:rPr>
          <w:b/>
          <w:bCs/>
        </w:rPr>
        <w:t xml:space="preserve">0.  </w:t>
      </w:r>
      <w:r w:rsidRPr="001C060C">
        <w:rPr>
          <w:b/>
          <w:bCs/>
          <w:u w:val="single"/>
        </w:rPr>
        <w:t>Permitted connections.</w:t>
      </w:r>
    </w:p>
    <w:p w:rsidR="00935B7A" w:rsidRPr="001C060C" w:rsidRDefault="00935B7A" w:rsidP="00935B7A">
      <w:pPr>
        <w:rPr>
          <w:bCs/>
        </w:rPr>
      </w:pPr>
    </w:p>
    <w:p w:rsidR="00935B7A" w:rsidRPr="001C060C" w:rsidRDefault="00935B7A" w:rsidP="00935B7A">
      <w:pPr>
        <w:rPr>
          <w:bCs/>
        </w:rPr>
      </w:pPr>
      <w:r>
        <w:rPr>
          <w:bCs/>
        </w:rPr>
        <w:tab/>
      </w:r>
      <w:r w:rsidRPr="001C060C">
        <w:rPr>
          <w:bCs/>
        </w:rPr>
        <w:t>(a)  The owner of any parcel with</w:t>
      </w:r>
      <w:r w:rsidRPr="00CA745F">
        <w:rPr>
          <w:bCs/>
        </w:rPr>
        <w:t>in</w:t>
      </w:r>
      <w:r w:rsidRPr="001C060C">
        <w:rPr>
          <w:bCs/>
        </w:rPr>
        <w:t xml:space="preserve"> the District who is not otherwise required to connect to the public sanitary sewer may, at the owner’s expense and in conformity with District regulations and conditions, connect to the sanitary sewer.</w:t>
      </w:r>
    </w:p>
    <w:p w:rsidR="00935B7A" w:rsidRPr="001C060C" w:rsidRDefault="00935B7A" w:rsidP="00935B7A">
      <w:pPr>
        <w:rPr>
          <w:bCs/>
        </w:rPr>
      </w:pPr>
    </w:p>
    <w:p w:rsidR="00935B7A" w:rsidRDefault="00935B7A" w:rsidP="00935B7A">
      <w:pPr>
        <w:rPr>
          <w:bCs/>
        </w:rPr>
      </w:pPr>
      <w:r>
        <w:rPr>
          <w:bCs/>
        </w:rPr>
        <w:tab/>
      </w:r>
      <w:r w:rsidRPr="001C060C">
        <w:rPr>
          <w:bCs/>
        </w:rPr>
        <w:t>(b)  The owner of any parcel outside of the District may, with the approval of the District</w:t>
      </w:r>
      <w:r>
        <w:rPr>
          <w:bCs/>
        </w:rPr>
        <w:t xml:space="preserve"> </w:t>
      </w:r>
      <w:r w:rsidRPr="00CA745F">
        <w:rPr>
          <w:bCs/>
        </w:rPr>
        <w:t>and of the municipality within which the parcel is located</w:t>
      </w:r>
      <w:r w:rsidRPr="001C060C">
        <w:rPr>
          <w:bCs/>
        </w:rPr>
        <w:t>, and upon such conditions as required by the District, connect to the District’s sanitary sewer.</w:t>
      </w:r>
    </w:p>
    <w:p w:rsidR="00935B7A" w:rsidRDefault="00935B7A" w:rsidP="00935B7A">
      <w:pPr>
        <w:rPr>
          <w:bCs/>
        </w:rPr>
      </w:pPr>
    </w:p>
    <w:p w:rsidR="00935B7A" w:rsidRDefault="00935B7A" w:rsidP="00935B7A">
      <w:pPr>
        <w:rPr>
          <w:b/>
          <w:u w:val="single"/>
        </w:rPr>
      </w:pPr>
      <w:r>
        <w:rPr>
          <w:b/>
        </w:rPr>
        <w:br w:type="page"/>
      </w:r>
      <w:r>
        <w:rPr>
          <w:b/>
        </w:rPr>
        <w:lastRenderedPageBreak/>
        <w:t xml:space="preserve">Section 4.30.  </w:t>
      </w:r>
      <w:r>
        <w:rPr>
          <w:b/>
          <w:u w:val="single"/>
        </w:rPr>
        <w:t>Initial sewerage service charge.</w:t>
      </w:r>
    </w:p>
    <w:p w:rsidR="00935B7A" w:rsidRDefault="00935B7A" w:rsidP="00935B7A">
      <w:pPr>
        <w:rPr>
          <w:b/>
          <w:u w:val="single"/>
        </w:rPr>
      </w:pPr>
    </w:p>
    <w:p w:rsidR="009C7C05" w:rsidRDefault="00935B7A" w:rsidP="009C7C05">
      <w:pPr>
        <w:pStyle w:val="ListParagraph"/>
        <w:spacing w:before="100" w:beforeAutospacing="1" w:after="100" w:afterAutospacing="1" w:line="259" w:lineRule="auto"/>
        <w:ind w:left="420"/>
      </w:pPr>
      <w:r>
        <w:tab/>
        <w:t xml:space="preserve">(a)  </w:t>
      </w:r>
      <w:r w:rsidR="009C7C05" w:rsidRPr="009C7C05">
        <w:t xml:space="preserve">All persons and businesses connecting to a District sewer main shall pay a New User fee. The New User Fee is $5,000 for a residence and $10,000 for a business, unless other arrangements have </w:t>
      </w:r>
      <w:r w:rsidR="009C7C05">
        <w:t>been approved by the District.</w:t>
      </w:r>
    </w:p>
    <w:p w:rsidR="002654FF" w:rsidRPr="009C7C05" w:rsidRDefault="009C7C05" w:rsidP="00935B7A">
      <w:r>
        <w:tab/>
        <w:t xml:space="preserve">(b) </w:t>
      </w:r>
      <w:r w:rsidR="002654FF">
        <w:t>When a single injection pump is used for more than one residence/User, each residence/User shall be charged a New User Fee for connection and each residence/</w:t>
      </w:r>
      <w:proofErr w:type="gramStart"/>
      <w:r w:rsidR="002654FF">
        <w:t>User  will</w:t>
      </w:r>
      <w:proofErr w:type="gramEnd"/>
      <w:r w:rsidR="002654FF">
        <w:t xml:space="preserve"> be billed independently for monthly REUs.</w:t>
      </w:r>
    </w:p>
    <w:p w:rsidR="00935B7A" w:rsidRPr="00656DD1" w:rsidRDefault="00935B7A" w:rsidP="00935B7A">
      <w:pPr>
        <w:rPr>
          <w:highlight w:val="yellow"/>
        </w:rPr>
      </w:pPr>
    </w:p>
    <w:p w:rsidR="00935B7A" w:rsidRDefault="00935B7A" w:rsidP="00935B7A">
      <w:r w:rsidRPr="00656DD1">
        <w:tab/>
        <w:t>(</w:t>
      </w:r>
      <w:r>
        <w:t>c</w:t>
      </w:r>
      <w:r w:rsidRPr="00656DD1">
        <w:t xml:space="preserve">)  </w:t>
      </w:r>
      <w:r>
        <w:t>The charge established hereunder</w:t>
      </w:r>
      <w:r w:rsidRPr="00656DD1">
        <w:t xml:space="preserve"> shall be deposited and </w:t>
      </w:r>
      <w:r>
        <w:t xml:space="preserve">used as provided under Section </w:t>
      </w:r>
      <w:r w:rsidRPr="00656DD1">
        <w:t>2.95(c).</w:t>
      </w:r>
    </w:p>
    <w:p w:rsidR="00935B7A" w:rsidRDefault="00935B7A" w:rsidP="00935B7A"/>
    <w:p w:rsidR="00935B7A" w:rsidRDefault="00935B7A" w:rsidP="00935B7A">
      <w:pPr>
        <w:pStyle w:val="PlainText"/>
        <w:rPr>
          <w:rFonts w:ascii="Times New Roman" w:eastAsia="Times New Roman" w:hAnsi="Times New Roman"/>
          <w:szCs w:val="24"/>
        </w:rPr>
      </w:pPr>
      <w:r>
        <w:tab/>
        <w:t>(</w:t>
      </w:r>
      <w:r>
        <w:rPr>
          <w:rFonts w:ascii="Times New Roman" w:hAnsi="Times New Roman"/>
          <w:szCs w:val="24"/>
        </w:rPr>
        <w:t>d</w:t>
      </w:r>
      <w:r w:rsidRPr="0022125F">
        <w:rPr>
          <w:rFonts w:ascii="Times New Roman" w:hAnsi="Times New Roman"/>
          <w:szCs w:val="24"/>
        </w:rPr>
        <w:t xml:space="preserve">)  Connection costs.  </w:t>
      </w:r>
      <w:r w:rsidRPr="004921D5">
        <w:rPr>
          <w:rFonts w:ascii="Times New Roman" w:hAnsi="Times New Roman"/>
          <w:szCs w:val="24"/>
          <w:u w:val="single"/>
        </w:rPr>
        <w:t>Except as provided in subsection (e),</w:t>
      </w:r>
      <w:r w:rsidRPr="004921D5">
        <w:rPr>
          <w:rFonts w:ascii="Times New Roman" w:hAnsi="Times New Roman"/>
          <w:szCs w:val="24"/>
        </w:rPr>
        <w:t xml:space="preserve"> below</w:t>
      </w:r>
      <w:r>
        <w:rPr>
          <w:rFonts w:ascii="Times New Roman" w:hAnsi="Times New Roman"/>
          <w:szCs w:val="24"/>
        </w:rPr>
        <w:t>, a</w:t>
      </w:r>
      <w:r w:rsidRPr="0022125F">
        <w:rPr>
          <w:rFonts w:ascii="Times New Roman" w:hAnsi="Times New Roman"/>
          <w:szCs w:val="24"/>
        </w:rPr>
        <w:t xml:space="preserve">ll persons connecting to a District sewer main shall have the lateral from the sewer main installed at their own expense. All costs for street, sidewalk, curb and gutter, drainage, and turf repair shall be paid by the person attaching to the sewer main.  </w:t>
      </w:r>
      <w:r w:rsidRPr="0022125F">
        <w:rPr>
          <w:rFonts w:ascii="Times New Roman" w:eastAsia="Times New Roman" w:hAnsi="Times New Roman"/>
          <w:szCs w:val="24"/>
        </w:rPr>
        <w:t xml:space="preserve">Any person </w:t>
      </w:r>
      <w:r>
        <w:rPr>
          <w:rFonts w:ascii="Times New Roman" w:eastAsia="Times New Roman" w:hAnsi="Times New Roman"/>
          <w:szCs w:val="24"/>
        </w:rPr>
        <w:t>applying to the Commission</w:t>
      </w:r>
      <w:r w:rsidRPr="004921D5">
        <w:rPr>
          <w:rFonts w:ascii="Times New Roman" w:eastAsia="Times New Roman" w:hAnsi="Times New Roman"/>
          <w:szCs w:val="24"/>
        </w:rPr>
        <w:t xml:space="preserve"> </w:t>
      </w:r>
      <w:r w:rsidRPr="00935B7A">
        <w:rPr>
          <w:rFonts w:ascii="Times New Roman" w:eastAsia="Times New Roman" w:hAnsi="Times New Roman"/>
          <w:szCs w:val="24"/>
        </w:rPr>
        <w:t>for a connection which</w:t>
      </w:r>
      <w:r>
        <w:rPr>
          <w:rFonts w:ascii="Times New Roman" w:eastAsia="Times New Roman" w:hAnsi="Times New Roman"/>
          <w:szCs w:val="24"/>
        </w:rPr>
        <w:t xml:space="preserve"> </w:t>
      </w:r>
      <w:r w:rsidRPr="0022125F">
        <w:rPr>
          <w:rFonts w:ascii="Times New Roman" w:eastAsia="Times New Roman" w:hAnsi="Times New Roman"/>
          <w:szCs w:val="24"/>
        </w:rPr>
        <w:t xml:space="preserve">cannot be properly handled by the existing system, shall provide all necessary components for the expansion deemed necessary by the </w:t>
      </w:r>
      <w:r>
        <w:rPr>
          <w:rFonts w:ascii="Times New Roman" w:eastAsia="Times New Roman" w:hAnsi="Times New Roman"/>
          <w:szCs w:val="24"/>
        </w:rPr>
        <w:t xml:space="preserve">Commission </w:t>
      </w:r>
      <w:r w:rsidRPr="0022125F">
        <w:rPr>
          <w:rFonts w:ascii="Times New Roman" w:eastAsia="Times New Roman" w:hAnsi="Times New Roman"/>
          <w:szCs w:val="24"/>
        </w:rPr>
        <w:t xml:space="preserve">prior to the connection to the system. Said components may include but are not limited to sewer mains, pipes, lift stations, ponds, </w:t>
      </w:r>
      <w:r>
        <w:rPr>
          <w:rFonts w:ascii="Times New Roman" w:eastAsia="Times New Roman" w:hAnsi="Times New Roman"/>
          <w:szCs w:val="24"/>
        </w:rPr>
        <w:t>and blowers.</w:t>
      </w:r>
    </w:p>
    <w:p w:rsidR="00935B7A" w:rsidRDefault="00935B7A" w:rsidP="00935B7A">
      <w:pPr>
        <w:pStyle w:val="PlainText"/>
        <w:rPr>
          <w:rFonts w:ascii="Times New Roman" w:eastAsia="Times New Roman" w:hAnsi="Times New Roman"/>
          <w:szCs w:val="24"/>
        </w:rPr>
      </w:pPr>
    </w:p>
    <w:p w:rsidR="009C7C05" w:rsidRDefault="00935B7A" w:rsidP="00935B7A">
      <w:pPr>
        <w:pStyle w:val="PlainText"/>
        <w:rPr>
          <w:rFonts w:ascii="Times New Roman" w:hAnsi="Times New Roman"/>
          <w:b/>
          <w:szCs w:val="24"/>
        </w:rPr>
      </w:pPr>
      <w:r w:rsidRPr="00656DD1">
        <w:rPr>
          <w:rFonts w:ascii="Times New Roman" w:hAnsi="Times New Roman"/>
          <w:b/>
        </w:rPr>
        <w:t xml:space="preserve">Section </w:t>
      </w:r>
      <w:proofErr w:type="gramStart"/>
      <w:r w:rsidRPr="00656DD1">
        <w:rPr>
          <w:rFonts w:ascii="Times New Roman" w:hAnsi="Times New Roman"/>
          <w:b/>
        </w:rPr>
        <w:t xml:space="preserve">4.40  </w:t>
      </w:r>
      <w:r w:rsidRPr="00656DD1">
        <w:rPr>
          <w:rFonts w:ascii="Times New Roman" w:hAnsi="Times New Roman"/>
          <w:b/>
          <w:u w:val="single"/>
        </w:rPr>
        <w:t>Ownership</w:t>
      </w:r>
      <w:proofErr w:type="gramEnd"/>
      <w:r w:rsidRPr="00656DD1">
        <w:rPr>
          <w:rFonts w:ascii="Times New Roman" w:hAnsi="Times New Roman"/>
          <w:b/>
          <w:u w:val="single"/>
        </w:rPr>
        <w:t xml:space="preserve"> and other changes.</w:t>
      </w:r>
      <w:r w:rsidRPr="00656DD1">
        <w:rPr>
          <w:rFonts w:ascii="Times New Roman" w:hAnsi="Times New Roman"/>
        </w:rPr>
        <w:t xml:space="preserve">  </w:t>
      </w:r>
    </w:p>
    <w:p w:rsidR="00935B7A" w:rsidRPr="009C7C05" w:rsidRDefault="009C7C05" w:rsidP="00935B7A">
      <w:pPr>
        <w:pStyle w:val="PlainText"/>
        <w:rPr>
          <w:rFonts w:ascii="Times New Roman" w:hAnsi="Times New Roman"/>
        </w:rPr>
      </w:pPr>
      <w:bookmarkStart w:id="0" w:name="_GoBack"/>
      <w:bookmarkEnd w:id="0"/>
      <w:r w:rsidRPr="009C7C05">
        <w:rPr>
          <w:rFonts w:ascii="Times New Roman" w:hAnsi="Times New Roman"/>
          <w:szCs w:val="24"/>
        </w:rPr>
        <w:t xml:space="preserve">The Commission may re-evaluate the number of required connections and connection charges whenever the ownership of a parcel is changed by subdivision, </w:t>
      </w:r>
      <w:proofErr w:type="spellStart"/>
      <w:r w:rsidRPr="009C7C05">
        <w:rPr>
          <w:rFonts w:ascii="Times New Roman" w:hAnsi="Times New Roman"/>
          <w:szCs w:val="24"/>
        </w:rPr>
        <w:t>condominiumization</w:t>
      </w:r>
      <w:proofErr w:type="spellEnd"/>
      <w:r w:rsidRPr="009C7C05">
        <w:rPr>
          <w:rFonts w:ascii="Times New Roman" w:hAnsi="Times New Roman"/>
          <w:szCs w:val="24"/>
        </w:rPr>
        <w:t xml:space="preserve">, or otherwise; or when additional residential units or businesses are created on a parcel; or when zoning is changed to allow greater occupancy density; and may thereupon issue additional connection orders pursuant to this chapter. The Commission, at its discretion, may require an additional new user fee whenever an additional connection is </w:t>
      </w:r>
      <w:r w:rsidR="00362C44" w:rsidRPr="009C7C05">
        <w:rPr>
          <w:rFonts w:ascii="Times New Roman" w:hAnsi="Times New Roman"/>
        </w:rPr>
        <w:t>regardless of whether there is an existing connection by the same owner.</w:t>
      </w:r>
    </w:p>
    <w:p w:rsidR="00935B7A" w:rsidRDefault="00935B7A" w:rsidP="00935B7A"/>
    <w:p w:rsidR="00935B7A" w:rsidRDefault="00935B7A" w:rsidP="00935B7A"/>
    <w:p w:rsidR="00935B7A" w:rsidRDefault="00935B7A" w:rsidP="00935B7A"/>
    <w:p w:rsidR="00935B7A" w:rsidRDefault="00935B7A" w:rsidP="00935B7A"/>
    <w:p w:rsidR="003E773B" w:rsidRDefault="003E773B"/>
    <w:sectPr w:rsidR="003E773B">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4D2" w:rsidRDefault="00DA24D2" w:rsidP="00935B7A">
      <w:r>
        <w:separator/>
      </w:r>
    </w:p>
  </w:endnote>
  <w:endnote w:type="continuationSeparator" w:id="0">
    <w:p w:rsidR="00DA24D2" w:rsidRDefault="00DA24D2" w:rsidP="00935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52BC" w:rsidRDefault="00FF1206" w:rsidP="0060215A">
    <w:pPr>
      <w:pStyle w:val="Footer"/>
      <w:jc w:val="right"/>
    </w:pPr>
    <w:r>
      <w:t>9</w:t>
    </w:r>
    <w:r w:rsidR="005052BC">
      <w:t>/1/2021</w:t>
    </w:r>
  </w:p>
  <w:p w:rsidR="0060215A" w:rsidRDefault="00972AE6" w:rsidP="0060215A">
    <w:pPr>
      <w:pStyle w:val="Footer"/>
      <w:jc w:val="right"/>
    </w:pPr>
    <w:r>
      <w:t>Page 4-</w:t>
    </w:r>
    <w:r>
      <w:rPr>
        <w:rStyle w:val="PageNumber"/>
      </w:rPr>
      <w:fldChar w:fldCharType="begin"/>
    </w:r>
    <w:r>
      <w:rPr>
        <w:rStyle w:val="PageNumber"/>
      </w:rPr>
      <w:instrText xml:space="preserve"> PAGE </w:instrText>
    </w:r>
    <w:r>
      <w:rPr>
        <w:rStyle w:val="PageNumber"/>
      </w:rPr>
      <w:fldChar w:fldCharType="separate"/>
    </w:r>
    <w:r w:rsidR="009C7C05">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4D2" w:rsidRDefault="00DA24D2" w:rsidP="00935B7A">
      <w:r>
        <w:separator/>
      </w:r>
    </w:p>
  </w:footnote>
  <w:footnote w:type="continuationSeparator" w:id="0">
    <w:p w:rsidR="00DA24D2" w:rsidRDefault="00DA24D2" w:rsidP="00935B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27976"/>
    <w:multiLevelType w:val="hybridMultilevel"/>
    <w:tmpl w:val="F0129AF8"/>
    <w:lvl w:ilvl="0" w:tplc="71B6E71E">
      <w:start w:val="1"/>
      <w:numFmt w:val="lowerLetter"/>
      <w:lvlText w:val="(%1)"/>
      <w:lvlJc w:val="left"/>
      <w:pPr>
        <w:ind w:left="1230" w:hanging="51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6560A8B"/>
    <w:multiLevelType w:val="hybridMultilevel"/>
    <w:tmpl w:val="56A09FAC"/>
    <w:lvl w:ilvl="0" w:tplc="7C5401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95D27DF"/>
    <w:multiLevelType w:val="hybridMultilevel"/>
    <w:tmpl w:val="C3180820"/>
    <w:lvl w:ilvl="0" w:tplc="78A8554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B7A"/>
    <w:rsid w:val="0008694A"/>
    <w:rsid w:val="001E1EB2"/>
    <w:rsid w:val="002654FF"/>
    <w:rsid w:val="00362C44"/>
    <w:rsid w:val="003A50F3"/>
    <w:rsid w:val="003E773B"/>
    <w:rsid w:val="004252CB"/>
    <w:rsid w:val="004F1D11"/>
    <w:rsid w:val="005052BC"/>
    <w:rsid w:val="006A4DC1"/>
    <w:rsid w:val="007218C8"/>
    <w:rsid w:val="007E644C"/>
    <w:rsid w:val="008563A2"/>
    <w:rsid w:val="00935B7A"/>
    <w:rsid w:val="00972AE6"/>
    <w:rsid w:val="009C7C05"/>
    <w:rsid w:val="00AA2B67"/>
    <w:rsid w:val="00BA0DDB"/>
    <w:rsid w:val="00D15463"/>
    <w:rsid w:val="00DA24D2"/>
    <w:rsid w:val="00FF1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E8A1F60"/>
  <w15:docId w15:val="{C324FD40-7B89-4622-9543-263D810E8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B7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935B7A"/>
    <w:rPr>
      <w:rFonts w:ascii="Courier" w:eastAsia="Times" w:hAnsi="Courier"/>
      <w:szCs w:val="20"/>
    </w:rPr>
  </w:style>
  <w:style w:type="character" w:customStyle="1" w:styleId="PlainTextChar">
    <w:name w:val="Plain Text Char"/>
    <w:basedOn w:val="DefaultParagraphFont"/>
    <w:link w:val="PlainText"/>
    <w:rsid w:val="00935B7A"/>
    <w:rPr>
      <w:rFonts w:ascii="Courier" w:eastAsia="Times" w:hAnsi="Courier" w:cs="Times New Roman"/>
      <w:sz w:val="24"/>
      <w:szCs w:val="20"/>
    </w:rPr>
  </w:style>
  <w:style w:type="paragraph" w:styleId="Footer">
    <w:name w:val="footer"/>
    <w:basedOn w:val="Normal"/>
    <w:link w:val="FooterChar"/>
    <w:rsid w:val="00935B7A"/>
    <w:pPr>
      <w:tabs>
        <w:tab w:val="center" w:pos="4320"/>
        <w:tab w:val="right" w:pos="8640"/>
      </w:tabs>
    </w:pPr>
    <w:rPr>
      <w:rFonts w:cs="Arial"/>
    </w:rPr>
  </w:style>
  <w:style w:type="character" w:customStyle="1" w:styleId="FooterChar">
    <w:name w:val="Footer Char"/>
    <w:basedOn w:val="DefaultParagraphFont"/>
    <w:link w:val="Footer"/>
    <w:rsid w:val="00935B7A"/>
    <w:rPr>
      <w:rFonts w:ascii="Times New Roman" w:eastAsia="Times New Roman" w:hAnsi="Times New Roman" w:cs="Arial"/>
      <w:sz w:val="24"/>
      <w:szCs w:val="24"/>
    </w:rPr>
  </w:style>
  <w:style w:type="character" w:styleId="PageNumber">
    <w:name w:val="page number"/>
    <w:basedOn w:val="DefaultParagraphFont"/>
    <w:rsid w:val="00935B7A"/>
  </w:style>
  <w:style w:type="paragraph" w:styleId="Header">
    <w:name w:val="header"/>
    <w:basedOn w:val="Normal"/>
    <w:link w:val="HeaderChar"/>
    <w:uiPriority w:val="99"/>
    <w:unhideWhenUsed/>
    <w:rsid w:val="00935B7A"/>
    <w:pPr>
      <w:tabs>
        <w:tab w:val="center" w:pos="4680"/>
        <w:tab w:val="right" w:pos="9360"/>
      </w:tabs>
    </w:pPr>
  </w:style>
  <w:style w:type="character" w:customStyle="1" w:styleId="HeaderChar">
    <w:name w:val="Header Char"/>
    <w:basedOn w:val="DefaultParagraphFont"/>
    <w:link w:val="Header"/>
    <w:uiPriority w:val="99"/>
    <w:rsid w:val="00935B7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A2B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B67"/>
    <w:rPr>
      <w:rFonts w:ascii="Segoe UI" w:eastAsia="Times New Roman" w:hAnsi="Segoe UI" w:cs="Segoe UI"/>
      <w:sz w:val="18"/>
      <w:szCs w:val="18"/>
    </w:rPr>
  </w:style>
  <w:style w:type="paragraph" w:styleId="ListParagraph">
    <w:name w:val="List Paragraph"/>
    <w:basedOn w:val="Normal"/>
    <w:uiPriority w:val="34"/>
    <w:qFormat/>
    <w:rsid w:val="000869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3</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Rose</cp:lastModifiedBy>
  <cp:revision>11</cp:revision>
  <cp:lastPrinted>2021-07-17T16:36:00Z</cp:lastPrinted>
  <dcterms:created xsi:type="dcterms:W3CDTF">2021-03-30T14:21:00Z</dcterms:created>
  <dcterms:modified xsi:type="dcterms:W3CDTF">2022-03-08T14:36:00Z</dcterms:modified>
</cp:coreProperties>
</file>